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94D" w:rsidRDefault="00D9594D" w:rsidP="00D9594D">
      <w:pPr>
        <w:shd w:val="clear" w:color="auto" w:fill="FFFFFF"/>
        <w:jc w:val="center"/>
      </w:pPr>
      <w:r>
        <w:rPr>
          <w:b/>
          <w:bCs/>
          <w:sz w:val="32"/>
          <w:szCs w:val="32"/>
          <w:lang w:eastAsia="en-IN"/>
        </w:rPr>
        <w:t xml:space="preserve">Amara Raja Batteries Limited Records </w:t>
      </w:r>
      <w:r w:rsidR="00B36F14">
        <w:rPr>
          <w:b/>
          <w:bCs/>
          <w:sz w:val="32"/>
          <w:szCs w:val="32"/>
          <w:lang w:eastAsia="en-IN"/>
        </w:rPr>
        <w:t>20</w:t>
      </w:r>
      <w:r>
        <w:rPr>
          <w:b/>
          <w:bCs/>
          <w:sz w:val="32"/>
          <w:szCs w:val="32"/>
          <w:lang w:eastAsia="en-IN"/>
        </w:rPr>
        <w:t xml:space="preserve">% growth in PBT; Launches/Announces Major Sustainability Initiatives with Solar </w:t>
      </w:r>
      <w:r w:rsidR="00357715">
        <w:rPr>
          <w:b/>
          <w:bCs/>
          <w:sz w:val="32"/>
          <w:szCs w:val="32"/>
          <w:lang w:eastAsia="en-IN"/>
        </w:rPr>
        <w:t xml:space="preserve">Power </w:t>
      </w:r>
      <w:r>
        <w:rPr>
          <w:b/>
          <w:bCs/>
          <w:sz w:val="32"/>
          <w:szCs w:val="32"/>
          <w:lang w:eastAsia="en-IN"/>
        </w:rPr>
        <w:t xml:space="preserve">&amp; Lead </w:t>
      </w:r>
      <w:r w:rsidR="00BF099B">
        <w:rPr>
          <w:b/>
          <w:bCs/>
          <w:sz w:val="32"/>
          <w:szCs w:val="32"/>
          <w:lang w:eastAsia="en-IN"/>
        </w:rPr>
        <w:t>Recycling</w:t>
      </w:r>
      <w:r>
        <w:rPr>
          <w:b/>
          <w:bCs/>
          <w:sz w:val="32"/>
          <w:szCs w:val="32"/>
          <w:lang w:eastAsia="en-IN"/>
        </w:rPr>
        <w:t xml:space="preserve"> Plants</w:t>
      </w:r>
    </w:p>
    <w:p w:rsidR="00D9594D" w:rsidRDefault="00D9594D" w:rsidP="00D9594D">
      <w:pPr>
        <w:spacing w:after="0" w:line="240" w:lineRule="auto"/>
        <w:jc w:val="both"/>
        <w:rPr>
          <w:rFonts w:eastAsia="Times New Roman" w:cstheme="minorHAnsi"/>
          <w:sz w:val="24"/>
          <w:szCs w:val="20"/>
          <w:lang w:eastAsia="en-IN"/>
        </w:rPr>
      </w:pPr>
      <w:r>
        <w:rPr>
          <w:rFonts w:eastAsia="Times New Roman" w:cstheme="minorHAnsi"/>
          <w:b/>
          <w:sz w:val="24"/>
          <w:szCs w:val="20"/>
          <w:lang w:eastAsia="en-IN"/>
        </w:rPr>
        <w:t>Hyderabad/</w:t>
      </w:r>
      <w:proofErr w:type="spellStart"/>
      <w:r>
        <w:rPr>
          <w:rFonts w:eastAsia="Times New Roman" w:cstheme="minorHAnsi"/>
          <w:b/>
          <w:sz w:val="24"/>
          <w:szCs w:val="20"/>
          <w:lang w:eastAsia="en-IN"/>
        </w:rPr>
        <w:t>Tirupati</w:t>
      </w:r>
      <w:proofErr w:type="spellEnd"/>
      <w:r>
        <w:rPr>
          <w:rFonts w:eastAsia="Times New Roman" w:cstheme="minorHAnsi"/>
          <w:b/>
          <w:sz w:val="24"/>
          <w:szCs w:val="20"/>
          <w:lang w:eastAsia="en-IN"/>
        </w:rPr>
        <w:t>, February 13, 202</w:t>
      </w:r>
      <w:r w:rsidR="005E639B">
        <w:rPr>
          <w:rFonts w:eastAsia="Times New Roman" w:cstheme="minorHAnsi"/>
          <w:b/>
          <w:sz w:val="24"/>
          <w:szCs w:val="20"/>
          <w:lang w:eastAsia="en-IN"/>
        </w:rPr>
        <w:t>1</w:t>
      </w:r>
      <w:r>
        <w:rPr>
          <w:rFonts w:eastAsia="Times New Roman" w:cstheme="minorHAnsi"/>
          <w:b/>
          <w:sz w:val="24"/>
          <w:szCs w:val="20"/>
          <w:lang w:eastAsia="en-IN"/>
        </w:rPr>
        <w:t>:</w:t>
      </w:r>
      <w:r>
        <w:rPr>
          <w:rFonts w:eastAsia="Times New Roman" w:cstheme="minorHAnsi"/>
          <w:sz w:val="24"/>
          <w:szCs w:val="20"/>
          <w:lang w:eastAsia="en-IN"/>
        </w:rPr>
        <w:t xml:space="preserve"> </w:t>
      </w:r>
      <w:r>
        <w:rPr>
          <w:rFonts w:cstheme="minorHAnsi"/>
          <w:sz w:val="24"/>
          <w:lang w:val="en-US"/>
        </w:rPr>
        <w:t>Driven by the revival in demand across all key sectors of the business,</w:t>
      </w:r>
      <w:r>
        <w:rPr>
          <w:rFonts w:eastAsia="Times New Roman" w:cstheme="minorHAnsi"/>
          <w:sz w:val="24"/>
          <w:szCs w:val="20"/>
          <w:lang w:val="en-US"/>
        </w:rPr>
        <w:t xml:space="preserve"> </w:t>
      </w:r>
      <w:r>
        <w:rPr>
          <w:rFonts w:eastAsia="Times New Roman" w:cstheme="minorHAnsi"/>
          <w:sz w:val="24"/>
          <w:szCs w:val="20"/>
        </w:rPr>
        <w:t xml:space="preserve">Amara Raja Batteries Limited, India’s leading Industrial and Automotive Battery major </w:t>
      </w:r>
      <w:r>
        <w:rPr>
          <w:rFonts w:eastAsia="Times New Roman" w:cstheme="minorHAnsi"/>
          <w:b/>
          <w:color w:val="000000"/>
          <w:sz w:val="24"/>
          <w:szCs w:val="20"/>
        </w:rPr>
        <w:t>(BSE: 500008 &amp; NSE Code: AMARAJABAT),</w:t>
      </w:r>
      <w:r>
        <w:rPr>
          <w:rFonts w:eastAsia="Times New Roman" w:cstheme="minorHAnsi"/>
          <w:sz w:val="24"/>
          <w:szCs w:val="20"/>
        </w:rPr>
        <w:t xml:space="preserve"> today reported a revenue of </w:t>
      </w:r>
      <w:proofErr w:type="spellStart"/>
      <w:r>
        <w:rPr>
          <w:rFonts w:eastAsia="Times New Roman" w:cstheme="minorHAnsi"/>
          <w:sz w:val="24"/>
          <w:szCs w:val="20"/>
        </w:rPr>
        <w:t>Rs</w:t>
      </w:r>
      <w:proofErr w:type="spellEnd"/>
      <w:r>
        <w:rPr>
          <w:rFonts w:eastAsia="Times New Roman" w:cstheme="minorHAnsi"/>
          <w:sz w:val="24"/>
          <w:szCs w:val="20"/>
        </w:rPr>
        <w:t xml:space="preserve"> </w:t>
      </w:r>
      <w:r w:rsidR="00C749D5">
        <w:rPr>
          <w:rFonts w:eastAsia="Times New Roman" w:cstheme="minorHAnsi"/>
          <w:sz w:val="24"/>
          <w:szCs w:val="20"/>
        </w:rPr>
        <w:t xml:space="preserve">1960.12 </w:t>
      </w:r>
      <w:r>
        <w:rPr>
          <w:rFonts w:eastAsia="Times New Roman" w:cstheme="minorHAnsi"/>
          <w:sz w:val="24"/>
          <w:szCs w:val="20"/>
        </w:rPr>
        <w:t xml:space="preserve">crore </w:t>
      </w:r>
      <w:r>
        <w:rPr>
          <w:rFonts w:eastAsia="Times New Roman" w:cstheme="minorHAnsi"/>
          <w:color w:val="000000"/>
          <w:sz w:val="24"/>
          <w:szCs w:val="20"/>
        </w:rPr>
        <w:t xml:space="preserve">in </w:t>
      </w:r>
      <w:r w:rsidRPr="00B36F14">
        <w:rPr>
          <w:rFonts w:eastAsia="Times New Roman" w:cstheme="minorHAnsi"/>
          <w:color w:val="000000"/>
          <w:sz w:val="24"/>
          <w:szCs w:val="20"/>
        </w:rPr>
        <w:t>Q3</w:t>
      </w:r>
      <w:r>
        <w:rPr>
          <w:rFonts w:eastAsia="Times New Roman" w:cstheme="minorHAnsi"/>
          <w:color w:val="000000"/>
          <w:sz w:val="24"/>
          <w:szCs w:val="20"/>
        </w:rPr>
        <w:t xml:space="preserve"> FY21 (</w:t>
      </w:r>
      <w:proofErr w:type="spellStart"/>
      <w:r>
        <w:rPr>
          <w:rFonts w:eastAsia="Times New Roman" w:cstheme="minorHAnsi"/>
          <w:color w:val="000000"/>
          <w:sz w:val="24"/>
          <w:szCs w:val="20"/>
        </w:rPr>
        <w:t>Rs</w:t>
      </w:r>
      <w:proofErr w:type="spellEnd"/>
      <w:r>
        <w:rPr>
          <w:rFonts w:eastAsia="Times New Roman" w:cstheme="minorHAnsi"/>
          <w:color w:val="000000"/>
          <w:sz w:val="24"/>
          <w:szCs w:val="20"/>
        </w:rPr>
        <w:t xml:space="preserve"> </w:t>
      </w:r>
      <w:r w:rsidR="00C749D5">
        <w:rPr>
          <w:rFonts w:eastAsia="Times New Roman" w:cstheme="minorHAnsi"/>
          <w:color w:val="000000"/>
          <w:sz w:val="24"/>
          <w:szCs w:val="20"/>
        </w:rPr>
        <w:t>1747.81</w:t>
      </w:r>
      <w:r>
        <w:rPr>
          <w:rFonts w:eastAsia="Times New Roman" w:cstheme="minorHAnsi"/>
          <w:sz w:val="24"/>
          <w:szCs w:val="20"/>
        </w:rPr>
        <w:t xml:space="preserve"> crores</w:t>
      </w:r>
      <w:r>
        <w:rPr>
          <w:rFonts w:eastAsia="Times New Roman" w:cstheme="minorHAnsi"/>
          <w:color w:val="000000"/>
          <w:sz w:val="24"/>
          <w:szCs w:val="20"/>
        </w:rPr>
        <w:t>)</w:t>
      </w:r>
      <w:r>
        <w:rPr>
          <w:rFonts w:cstheme="minorHAnsi"/>
          <w:sz w:val="24"/>
          <w:szCs w:val="20"/>
        </w:rPr>
        <w:t xml:space="preserve"> and Profit Before Tax (PBT) of </w:t>
      </w:r>
      <w:proofErr w:type="spellStart"/>
      <w:r>
        <w:rPr>
          <w:rFonts w:cstheme="minorHAnsi"/>
          <w:sz w:val="24"/>
          <w:szCs w:val="20"/>
        </w:rPr>
        <w:t>Rs</w:t>
      </w:r>
      <w:proofErr w:type="spellEnd"/>
      <w:r w:rsidR="00C749D5">
        <w:rPr>
          <w:rFonts w:cstheme="minorHAnsi"/>
          <w:sz w:val="24"/>
          <w:szCs w:val="20"/>
        </w:rPr>
        <w:t xml:space="preserve"> 259.90</w:t>
      </w:r>
      <w:r>
        <w:rPr>
          <w:rFonts w:cstheme="minorHAnsi"/>
          <w:sz w:val="24"/>
          <w:szCs w:val="20"/>
        </w:rPr>
        <w:t xml:space="preserve"> crores (</w:t>
      </w:r>
      <w:proofErr w:type="spellStart"/>
      <w:r>
        <w:rPr>
          <w:rFonts w:cstheme="minorHAnsi"/>
          <w:sz w:val="24"/>
          <w:szCs w:val="20"/>
        </w:rPr>
        <w:t>Rs</w:t>
      </w:r>
      <w:proofErr w:type="spellEnd"/>
      <w:r>
        <w:rPr>
          <w:rFonts w:cstheme="minorHAnsi"/>
          <w:sz w:val="24"/>
          <w:szCs w:val="20"/>
        </w:rPr>
        <w:t>.</w:t>
      </w:r>
      <w:r w:rsidR="00C749D5">
        <w:rPr>
          <w:rFonts w:cstheme="minorHAnsi"/>
          <w:sz w:val="24"/>
          <w:szCs w:val="20"/>
        </w:rPr>
        <w:t xml:space="preserve"> 217.36</w:t>
      </w:r>
      <w:r>
        <w:rPr>
          <w:rFonts w:cstheme="minorHAnsi"/>
          <w:sz w:val="24"/>
          <w:szCs w:val="20"/>
        </w:rPr>
        <w:t xml:space="preserve"> crores). </w:t>
      </w:r>
      <w:r>
        <w:rPr>
          <w:rFonts w:eastAsia="Times New Roman" w:cstheme="minorHAnsi"/>
          <w:sz w:val="24"/>
          <w:szCs w:val="20"/>
          <w:lang w:eastAsia="en-IN"/>
        </w:rPr>
        <w:t xml:space="preserve">The Earnings </w:t>
      </w:r>
      <w:proofErr w:type="gramStart"/>
      <w:r>
        <w:rPr>
          <w:rFonts w:eastAsia="Times New Roman" w:cstheme="minorHAnsi"/>
          <w:sz w:val="24"/>
          <w:szCs w:val="20"/>
          <w:lang w:eastAsia="en-IN"/>
        </w:rPr>
        <w:t>Per</w:t>
      </w:r>
      <w:proofErr w:type="gramEnd"/>
      <w:r>
        <w:rPr>
          <w:rFonts w:eastAsia="Times New Roman" w:cstheme="minorHAnsi"/>
          <w:sz w:val="24"/>
          <w:szCs w:val="20"/>
          <w:lang w:eastAsia="en-IN"/>
        </w:rPr>
        <w:t xml:space="preserve"> Share (EPS) for Q3 FY 21 was at </w:t>
      </w:r>
      <w:proofErr w:type="spellStart"/>
      <w:r>
        <w:rPr>
          <w:rFonts w:eastAsia="Times New Roman" w:cstheme="minorHAnsi"/>
          <w:sz w:val="24"/>
          <w:szCs w:val="20"/>
          <w:lang w:eastAsia="en-IN"/>
        </w:rPr>
        <w:t>Rs</w:t>
      </w:r>
      <w:proofErr w:type="spellEnd"/>
      <w:r>
        <w:rPr>
          <w:rFonts w:eastAsia="Times New Roman" w:cstheme="minorHAnsi"/>
          <w:sz w:val="24"/>
          <w:szCs w:val="20"/>
          <w:lang w:eastAsia="en-IN"/>
        </w:rPr>
        <w:t xml:space="preserve">. </w:t>
      </w:r>
      <w:r w:rsidR="00C749D5">
        <w:rPr>
          <w:rFonts w:eastAsia="Times New Roman" w:cstheme="minorHAnsi"/>
          <w:sz w:val="24"/>
          <w:szCs w:val="20"/>
          <w:lang w:eastAsia="en-IN"/>
        </w:rPr>
        <w:t>11.31</w:t>
      </w:r>
    </w:p>
    <w:p w:rsidR="00D9594D" w:rsidRDefault="00D9594D" w:rsidP="00D9594D">
      <w:pPr>
        <w:spacing w:after="0" w:line="240" w:lineRule="auto"/>
        <w:jc w:val="both"/>
        <w:rPr>
          <w:rFonts w:eastAsia="Times New Roman" w:cstheme="minorHAnsi"/>
          <w:sz w:val="24"/>
          <w:szCs w:val="20"/>
          <w:lang w:eastAsia="en-IN"/>
        </w:rPr>
      </w:pPr>
    </w:p>
    <w:p w:rsidR="00D9594D" w:rsidRDefault="00D9594D" w:rsidP="00D9594D">
      <w:pPr>
        <w:spacing w:after="0" w:line="240" w:lineRule="auto"/>
        <w:jc w:val="both"/>
        <w:rPr>
          <w:rFonts w:eastAsia="Times New Roman" w:cstheme="minorHAnsi"/>
          <w:color w:val="000000"/>
          <w:sz w:val="24"/>
          <w:szCs w:val="20"/>
        </w:rPr>
      </w:pPr>
      <w:r>
        <w:rPr>
          <w:rFonts w:eastAsia="Times New Roman" w:cstheme="minorHAnsi"/>
          <w:color w:val="000000"/>
          <w:sz w:val="24"/>
          <w:szCs w:val="20"/>
        </w:rPr>
        <w:t>For the quarter ended on December 31, 2020,</w:t>
      </w:r>
    </w:p>
    <w:p w:rsidR="00D9594D" w:rsidRDefault="00D9594D" w:rsidP="00D9594D">
      <w:pPr>
        <w:spacing w:after="0" w:line="240" w:lineRule="auto"/>
        <w:jc w:val="right"/>
        <w:rPr>
          <w:rFonts w:eastAsia="Times New Roman" w:cstheme="minorHAnsi"/>
          <w:b/>
          <w:color w:val="000000"/>
          <w:sz w:val="24"/>
          <w:szCs w:val="20"/>
        </w:rPr>
      </w:pPr>
      <w:proofErr w:type="spellStart"/>
      <w:r>
        <w:rPr>
          <w:rFonts w:eastAsia="Times New Roman" w:cstheme="minorHAnsi"/>
          <w:b/>
          <w:color w:val="000000"/>
          <w:sz w:val="24"/>
          <w:szCs w:val="20"/>
        </w:rPr>
        <w:t>Rs</w:t>
      </w:r>
      <w:proofErr w:type="spellEnd"/>
      <w:r>
        <w:rPr>
          <w:rFonts w:eastAsia="Times New Roman" w:cstheme="minorHAnsi"/>
          <w:b/>
          <w:color w:val="000000"/>
          <w:sz w:val="24"/>
          <w:szCs w:val="20"/>
        </w:rPr>
        <w:t>. in crores</w:t>
      </w:r>
    </w:p>
    <w:tbl>
      <w:tblPr>
        <w:tblStyle w:val="TableGrid"/>
        <w:tblW w:w="9020" w:type="dxa"/>
        <w:tblLook w:val="04A0" w:firstRow="1" w:lastRow="0" w:firstColumn="1" w:lastColumn="0" w:noHBand="0" w:noVBand="1"/>
      </w:tblPr>
      <w:tblGrid>
        <w:gridCol w:w="4506"/>
        <w:gridCol w:w="2188"/>
        <w:gridCol w:w="2326"/>
      </w:tblGrid>
      <w:tr w:rsidR="00D9594D" w:rsidTr="00D9594D">
        <w:trPr>
          <w:trHeight w:val="394"/>
        </w:trPr>
        <w:tc>
          <w:tcPr>
            <w:tcW w:w="4506" w:type="dxa"/>
            <w:tcBorders>
              <w:top w:val="single" w:sz="4" w:space="0" w:color="auto"/>
              <w:left w:val="single" w:sz="4" w:space="0" w:color="auto"/>
              <w:bottom w:val="single" w:sz="4" w:space="0" w:color="auto"/>
              <w:right w:val="single" w:sz="4" w:space="0" w:color="auto"/>
            </w:tcBorders>
            <w:hideMark/>
          </w:tcPr>
          <w:p w:rsidR="00D9594D" w:rsidRDefault="00D9594D">
            <w:pPr>
              <w:spacing w:line="240" w:lineRule="auto"/>
              <w:jc w:val="center"/>
              <w:rPr>
                <w:rFonts w:eastAsia="Times New Roman" w:cstheme="minorHAnsi"/>
                <w:b/>
                <w:color w:val="000000"/>
                <w:sz w:val="24"/>
                <w:szCs w:val="20"/>
              </w:rPr>
            </w:pPr>
            <w:r>
              <w:rPr>
                <w:rFonts w:eastAsia="Times New Roman" w:cstheme="minorHAnsi"/>
                <w:b/>
                <w:color w:val="000000"/>
                <w:sz w:val="24"/>
                <w:szCs w:val="20"/>
              </w:rPr>
              <w:t>Particulars</w:t>
            </w:r>
          </w:p>
        </w:tc>
        <w:tc>
          <w:tcPr>
            <w:tcW w:w="4514" w:type="dxa"/>
            <w:gridSpan w:val="2"/>
            <w:tcBorders>
              <w:top w:val="single" w:sz="4" w:space="0" w:color="auto"/>
              <w:left w:val="single" w:sz="4" w:space="0" w:color="auto"/>
              <w:bottom w:val="single" w:sz="4" w:space="0" w:color="auto"/>
              <w:right w:val="single" w:sz="4" w:space="0" w:color="auto"/>
            </w:tcBorders>
            <w:hideMark/>
          </w:tcPr>
          <w:p w:rsidR="00D9594D" w:rsidRDefault="00D9594D">
            <w:pPr>
              <w:spacing w:line="240" w:lineRule="auto"/>
              <w:jc w:val="center"/>
              <w:rPr>
                <w:rFonts w:eastAsia="Times New Roman" w:cstheme="minorHAnsi"/>
                <w:b/>
                <w:color w:val="000000"/>
                <w:sz w:val="24"/>
                <w:szCs w:val="20"/>
              </w:rPr>
            </w:pPr>
            <w:r>
              <w:rPr>
                <w:rFonts w:eastAsia="Times New Roman" w:cstheme="minorHAnsi"/>
                <w:b/>
                <w:color w:val="000000"/>
                <w:sz w:val="24"/>
                <w:szCs w:val="20"/>
              </w:rPr>
              <w:t>Quarter ended</w:t>
            </w:r>
          </w:p>
        </w:tc>
      </w:tr>
      <w:tr w:rsidR="00D9594D" w:rsidTr="00D9594D">
        <w:trPr>
          <w:trHeight w:val="363"/>
        </w:trPr>
        <w:tc>
          <w:tcPr>
            <w:tcW w:w="4506" w:type="dxa"/>
            <w:tcBorders>
              <w:top w:val="single" w:sz="4" w:space="0" w:color="auto"/>
              <w:left w:val="single" w:sz="4" w:space="0" w:color="auto"/>
              <w:bottom w:val="single" w:sz="4" w:space="0" w:color="auto"/>
              <w:right w:val="single" w:sz="4" w:space="0" w:color="auto"/>
            </w:tcBorders>
          </w:tcPr>
          <w:p w:rsidR="00D9594D" w:rsidRDefault="00D9594D">
            <w:pPr>
              <w:spacing w:line="240" w:lineRule="auto"/>
              <w:ind w:right="-1098"/>
              <w:jc w:val="both"/>
              <w:rPr>
                <w:rFonts w:eastAsia="Times New Roman" w:cstheme="minorHAnsi"/>
                <w:b/>
                <w:color w:val="000000"/>
                <w:sz w:val="24"/>
                <w:szCs w:val="20"/>
              </w:rPr>
            </w:pPr>
          </w:p>
        </w:tc>
        <w:tc>
          <w:tcPr>
            <w:tcW w:w="2188" w:type="dxa"/>
            <w:tcBorders>
              <w:top w:val="single" w:sz="4" w:space="0" w:color="auto"/>
              <w:left w:val="single" w:sz="4" w:space="0" w:color="auto"/>
              <w:bottom w:val="single" w:sz="4" w:space="0" w:color="auto"/>
              <w:right w:val="single" w:sz="4" w:space="0" w:color="auto"/>
            </w:tcBorders>
            <w:hideMark/>
          </w:tcPr>
          <w:p w:rsidR="00D9594D" w:rsidRPr="00B36F14" w:rsidRDefault="00D9594D">
            <w:pPr>
              <w:spacing w:line="240" w:lineRule="auto"/>
              <w:jc w:val="both"/>
              <w:rPr>
                <w:rFonts w:eastAsia="Times New Roman" w:cstheme="minorHAnsi"/>
                <w:b/>
                <w:color w:val="000000"/>
                <w:sz w:val="24"/>
                <w:szCs w:val="20"/>
              </w:rPr>
            </w:pPr>
            <w:r w:rsidRPr="00B36F14">
              <w:rPr>
                <w:rFonts w:eastAsia="Times New Roman" w:cstheme="minorHAnsi"/>
                <w:b/>
                <w:color w:val="000000"/>
                <w:sz w:val="24"/>
                <w:szCs w:val="20"/>
              </w:rPr>
              <w:t>December 31, 2020</w:t>
            </w:r>
          </w:p>
        </w:tc>
        <w:tc>
          <w:tcPr>
            <w:tcW w:w="2326" w:type="dxa"/>
            <w:tcBorders>
              <w:top w:val="single" w:sz="4" w:space="0" w:color="auto"/>
              <w:left w:val="single" w:sz="4" w:space="0" w:color="auto"/>
              <w:bottom w:val="single" w:sz="4" w:space="0" w:color="auto"/>
              <w:right w:val="single" w:sz="4" w:space="0" w:color="auto"/>
            </w:tcBorders>
            <w:hideMark/>
          </w:tcPr>
          <w:p w:rsidR="00D9594D" w:rsidRPr="00B36F14" w:rsidRDefault="00D9594D">
            <w:pPr>
              <w:spacing w:line="240" w:lineRule="auto"/>
              <w:jc w:val="both"/>
              <w:rPr>
                <w:rFonts w:eastAsia="Times New Roman" w:cstheme="minorHAnsi"/>
                <w:b/>
                <w:color w:val="000000"/>
                <w:sz w:val="24"/>
                <w:szCs w:val="20"/>
              </w:rPr>
            </w:pPr>
            <w:r w:rsidRPr="00B36F14">
              <w:rPr>
                <w:rFonts w:eastAsia="Times New Roman" w:cstheme="minorHAnsi"/>
                <w:b/>
                <w:color w:val="000000"/>
                <w:sz w:val="24"/>
                <w:szCs w:val="20"/>
              </w:rPr>
              <w:t>December 31, 2019</w:t>
            </w:r>
          </w:p>
        </w:tc>
      </w:tr>
      <w:tr w:rsidR="00D9594D" w:rsidTr="00D9594D">
        <w:trPr>
          <w:trHeight w:val="364"/>
        </w:trPr>
        <w:tc>
          <w:tcPr>
            <w:tcW w:w="4506" w:type="dxa"/>
            <w:tcBorders>
              <w:top w:val="single" w:sz="4" w:space="0" w:color="auto"/>
              <w:left w:val="single" w:sz="4" w:space="0" w:color="auto"/>
              <w:bottom w:val="single" w:sz="4" w:space="0" w:color="auto"/>
              <w:right w:val="single" w:sz="4" w:space="0" w:color="auto"/>
            </w:tcBorders>
            <w:hideMark/>
          </w:tcPr>
          <w:p w:rsidR="00D9594D" w:rsidRDefault="00D9594D">
            <w:pPr>
              <w:spacing w:line="240" w:lineRule="auto"/>
              <w:jc w:val="both"/>
              <w:rPr>
                <w:rFonts w:eastAsia="Times New Roman" w:cstheme="minorHAnsi"/>
                <w:color w:val="000000"/>
                <w:sz w:val="24"/>
                <w:szCs w:val="20"/>
              </w:rPr>
            </w:pPr>
            <w:r>
              <w:rPr>
                <w:rFonts w:eastAsia="Times New Roman" w:cstheme="minorHAnsi"/>
                <w:color w:val="000000"/>
                <w:sz w:val="24"/>
                <w:szCs w:val="20"/>
              </w:rPr>
              <w:t>Net Revenue from operations</w:t>
            </w:r>
          </w:p>
        </w:tc>
        <w:tc>
          <w:tcPr>
            <w:tcW w:w="2188" w:type="dxa"/>
            <w:tcBorders>
              <w:top w:val="single" w:sz="4" w:space="0" w:color="auto"/>
              <w:left w:val="single" w:sz="4" w:space="0" w:color="auto"/>
              <w:bottom w:val="single" w:sz="4" w:space="0" w:color="auto"/>
              <w:right w:val="single" w:sz="4" w:space="0" w:color="auto"/>
            </w:tcBorders>
          </w:tcPr>
          <w:p w:rsidR="00D9594D" w:rsidRPr="00B36F14" w:rsidRDefault="00C749D5">
            <w:pPr>
              <w:spacing w:line="240" w:lineRule="auto"/>
              <w:jc w:val="right"/>
              <w:rPr>
                <w:rFonts w:eastAsia="Times New Roman" w:cstheme="minorHAnsi"/>
                <w:color w:val="000000"/>
                <w:sz w:val="24"/>
                <w:szCs w:val="20"/>
              </w:rPr>
            </w:pPr>
            <w:r w:rsidRPr="00B36F14">
              <w:rPr>
                <w:rFonts w:eastAsia="Times New Roman" w:cstheme="minorHAnsi"/>
                <w:color w:val="000000"/>
                <w:sz w:val="24"/>
                <w:szCs w:val="20"/>
              </w:rPr>
              <w:t>1960.12</w:t>
            </w:r>
          </w:p>
        </w:tc>
        <w:tc>
          <w:tcPr>
            <w:tcW w:w="2326" w:type="dxa"/>
            <w:tcBorders>
              <w:top w:val="single" w:sz="4" w:space="0" w:color="auto"/>
              <w:left w:val="single" w:sz="4" w:space="0" w:color="auto"/>
              <w:bottom w:val="single" w:sz="4" w:space="0" w:color="auto"/>
              <w:right w:val="single" w:sz="4" w:space="0" w:color="auto"/>
            </w:tcBorders>
          </w:tcPr>
          <w:p w:rsidR="00D9594D" w:rsidRPr="00B36F14" w:rsidRDefault="00C749D5">
            <w:pPr>
              <w:spacing w:line="240" w:lineRule="auto"/>
              <w:jc w:val="right"/>
              <w:rPr>
                <w:rFonts w:eastAsia="Times New Roman" w:cstheme="minorHAnsi"/>
                <w:color w:val="000000"/>
                <w:sz w:val="24"/>
                <w:szCs w:val="20"/>
              </w:rPr>
            </w:pPr>
            <w:r w:rsidRPr="00B36F14">
              <w:rPr>
                <w:rFonts w:eastAsia="Times New Roman" w:cstheme="minorHAnsi"/>
                <w:color w:val="000000"/>
                <w:sz w:val="24"/>
                <w:szCs w:val="20"/>
              </w:rPr>
              <w:t>1747.81</w:t>
            </w:r>
          </w:p>
        </w:tc>
      </w:tr>
      <w:tr w:rsidR="00D9594D" w:rsidTr="00D9594D">
        <w:trPr>
          <w:trHeight w:val="363"/>
        </w:trPr>
        <w:tc>
          <w:tcPr>
            <w:tcW w:w="4506" w:type="dxa"/>
            <w:tcBorders>
              <w:top w:val="single" w:sz="4" w:space="0" w:color="auto"/>
              <w:left w:val="single" w:sz="4" w:space="0" w:color="auto"/>
              <w:bottom w:val="single" w:sz="4" w:space="0" w:color="auto"/>
              <w:right w:val="single" w:sz="4" w:space="0" w:color="auto"/>
            </w:tcBorders>
            <w:hideMark/>
          </w:tcPr>
          <w:p w:rsidR="00D9594D" w:rsidRDefault="00D9594D">
            <w:pPr>
              <w:spacing w:line="240" w:lineRule="auto"/>
              <w:jc w:val="both"/>
              <w:rPr>
                <w:rFonts w:eastAsia="Times New Roman" w:cstheme="minorHAnsi"/>
                <w:color w:val="000000"/>
                <w:sz w:val="24"/>
                <w:szCs w:val="20"/>
              </w:rPr>
            </w:pPr>
            <w:r>
              <w:rPr>
                <w:rFonts w:eastAsia="Times New Roman" w:cstheme="minorHAnsi"/>
                <w:color w:val="000000"/>
                <w:sz w:val="24"/>
                <w:szCs w:val="20"/>
              </w:rPr>
              <w:t xml:space="preserve">Profit Before Tax </w:t>
            </w:r>
          </w:p>
        </w:tc>
        <w:tc>
          <w:tcPr>
            <w:tcW w:w="2188" w:type="dxa"/>
            <w:tcBorders>
              <w:top w:val="single" w:sz="4" w:space="0" w:color="auto"/>
              <w:left w:val="single" w:sz="4" w:space="0" w:color="auto"/>
              <w:bottom w:val="single" w:sz="4" w:space="0" w:color="auto"/>
              <w:right w:val="single" w:sz="4" w:space="0" w:color="auto"/>
            </w:tcBorders>
          </w:tcPr>
          <w:p w:rsidR="00D9594D" w:rsidRPr="00B36F14" w:rsidRDefault="00C749D5">
            <w:pPr>
              <w:spacing w:line="240" w:lineRule="auto"/>
              <w:jc w:val="right"/>
              <w:rPr>
                <w:rFonts w:eastAsia="Times New Roman" w:cstheme="minorHAnsi"/>
                <w:color w:val="000000"/>
                <w:sz w:val="24"/>
                <w:szCs w:val="20"/>
              </w:rPr>
            </w:pPr>
            <w:r w:rsidRPr="00B36F14">
              <w:rPr>
                <w:rFonts w:eastAsia="Times New Roman" w:cstheme="minorHAnsi"/>
                <w:color w:val="000000"/>
                <w:sz w:val="24"/>
                <w:szCs w:val="20"/>
              </w:rPr>
              <w:t>259.90</w:t>
            </w:r>
          </w:p>
        </w:tc>
        <w:tc>
          <w:tcPr>
            <w:tcW w:w="2326" w:type="dxa"/>
            <w:tcBorders>
              <w:top w:val="single" w:sz="4" w:space="0" w:color="auto"/>
              <w:left w:val="single" w:sz="4" w:space="0" w:color="auto"/>
              <w:bottom w:val="single" w:sz="4" w:space="0" w:color="auto"/>
              <w:right w:val="single" w:sz="4" w:space="0" w:color="auto"/>
            </w:tcBorders>
          </w:tcPr>
          <w:p w:rsidR="00D9594D" w:rsidRPr="00B36F14" w:rsidRDefault="00C749D5">
            <w:pPr>
              <w:spacing w:line="240" w:lineRule="auto"/>
              <w:jc w:val="right"/>
              <w:rPr>
                <w:rFonts w:eastAsia="Times New Roman" w:cstheme="minorHAnsi"/>
                <w:color w:val="000000"/>
                <w:sz w:val="24"/>
                <w:szCs w:val="20"/>
              </w:rPr>
            </w:pPr>
            <w:r w:rsidRPr="00B36F14">
              <w:rPr>
                <w:rFonts w:eastAsia="Times New Roman" w:cstheme="minorHAnsi"/>
                <w:color w:val="000000"/>
                <w:sz w:val="24"/>
                <w:szCs w:val="20"/>
              </w:rPr>
              <w:t>217.36</w:t>
            </w:r>
          </w:p>
        </w:tc>
      </w:tr>
    </w:tbl>
    <w:p w:rsidR="00D9594D" w:rsidRDefault="00D9594D" w:rsidP="00D9594D">
      <w:pPr>
        <w:pStyle w:val="PlainText"/>
        <w:jc w:val="both"/>
      </w:pPr>
    </w:p>
    <w:p w:rsidR="009E09D2" w:rsidRPr="009E09D2" w:rsidRDefault="009E09D2" w:rsidP="009E09D2">
      <w:pPr>
        <w:pStyle w:val="PlainText"/>
        <w:jc w:val="both"/>
      </w:pPr>
      <w:r w:rsidRPr="009E09D2">
        <w:t>The Board of the Directors</w:t>
      </w:r>
      <w:r>
        <w:t xml:space="preserve"> also</w:t>
      </w:r>
      <w:r w:rsidRPr="009E09D2">
        <w:t xml:space="preserve"> approved payment of an interim dividend of </w:t>
      </w:r>
      <w:proofErr w:type="spellStart"/>
      <w:r w:rsidRPr="009E09D2">
        <w:t>Rs</w:t>
      </w:r>
      <w:proofErr w:type="spellEnd"/>
      <w:r w:rsidRPr="009E09D2">
        <w:t>. 5/- per equity share (representing 500%) on face value of Re. 1/- each for the financial year 2020-21.</w:t>
      </w:r>
    </w:p>
    <w:p w:rsidR="009E09D2" w:rsidRDefault="009E09D2" w:rsidP="00D9594D">
      <w:pPr>
        <w:pStyle w:val="PlainText"/>
        <w:jc w:val="both"/>
      </w:pPr>
    </w:p>
    <w:p w:rsidR="00357715" w:rsidRDefault="00357715" w:rsidP="00357715">
      <w:pPr>
        <w:pStyle w:val="PlainText"/>
        <w:jc w:val="both"/>
      </w:pPr>
      <w:r>
        <w:t xml:space="preserve">In the automotive segment, revenue growth is aided by consistent growth in OEM and aftermarket </w:t>
      </w:r>
      <w:proofErr w:type="gramStart"/>
      <w:r>
        <w:t>segments</w:t>
      </w:r>
      <w:proofErr w:type="gramEnd"/>
      <w:r>
        <w:t xml:space="preserve"> and also the Export segment registered robust growth. The Telecom and commercial UPS market segments have also recorded a strong growth in the third quarter. Manufacturing capacities are fully ramped up to the optimum utilisation across all segments. </w:t>
      </w:r>
    </w:p>
    <w:p w:rsidR="00357715" w:rsidRDefault="00357715" w:rsidP="00357715">
      <w:pPr>
        <w:pStyle w:val="PlainText"/>
        <w:jc w:val="both"/>
      </w:pPr>
    </w:p>
    <w:p w:rsidR="00357715" w:rsidRPr="008374AB" w:rsidRDefault="00357715" w:rsidP="00357715">
      <w:pPr>
        <w:pStyle w:val="NoSpacing"/>
        <w:rPr>
          <w:color w:val="000000" w:themeColor="text1"/>
        </w:rPr>
      </w:pPr>
      <w:r>
        <w:t>During the quarter ARBL has inaugurated the “</w:t>
      </w:r>
      <w:r w:rsidRPr="006621C3">
        <w:t xml:space="preserve">Advanced Lithium Technology Research Hub” </w:t>
      </w:r>
      <w:r>
        <w:t xml:space="preserve">with </w:t>
      </w:r>
      <w:r w:rsidRPr="006621C3">
        <w:t xml:space="preserve">Pilot plant </w:t>
      </w:r>
      <w:r>
        <w:t xml:space="preserve">facility </w:t>
      </w:r>
      <w:r w:rsidRPr="006621C3">
        <w:t xml:space="preserve">for cell </w:t>
      </w:r>
      <w:r>
        <w:t xml:space="preserve">development. </w:t>
      </w:r>
      <w:r w:rsidRPr="006621C3">
        <w:rPr>
          <w:color w:val="000000" w:themeColor="text1"/>
        </w:rPr>
        <w:t xml:space="preserve">Amara Raja has </w:t>
      </w:r>
      <w:r>
        <w:rPr>
          <w:color w:val="000000" w:themeColor="text1"/>
        </w:rPr>
        <w:t xml:space="preserve">developed a wide range of battery packs for </w:t>
      </w:r>
      <w:r w:rsidRPr="008374AB">
        <w:rPr>
          <w:color w:val="000000" w:themeColor="text1"/>
          <w:lang w:val="en-US"/>
        </w:rPr>
        <w:t xml:space="preserve">e-Mobility and Energy storage applications and </w:t>
      </w:r>
      <w:r>
        <w:rPr>
          <w:color w:val="000000" w:themeColor="text1"/>
          <w:lang w:val="en-US"/>
        </w:rPr>
        <w:t xml:space="preserve">has secured approvals from various </w:t>
      </w:r>
      <w:r w:rsidRPr="008374AB">
        <w:rPr>
          <w:color w:val="000000" w:themeColor="text1"/>
          <w:lang w:val="en-US"/>
        </w:rPr>
        <w:t>OE</w:t>
      </w:r>
      <w:r>
        <w:rPr>
          <w:color w:val="000000" w:themeColor="text1"/>
          <w:lang w:val="en-US"/>
        </w:rPr>
        <w:t>’</w:t>
      </w:r>
      <w:r w:rsidRPr="008374AB">
        <w:rPr>
          <w:color w:val="000000" w:themeColor="text1"/>
          <w:lang w:val="en-US"/>
        </w:rPr>
        <w:t xml:space="preserve">s </w:t>
      </w:r>
      <w:r>
        <w:rPr>
          <w:color w:val="000000" w:themeColor="text1"/>
          <w:lang w:val="en-US"/>
        </w:rPr>
        <w:t xml:space="preserve">and fleet operators </w:t>
      </w:r>
      <w:r w:rsidRPr="008374AB">
        <w:rPr>
          <w:color w:val="000000" w:themeColor="text1"/>
          <w:lang w:val="en-US"/>
        </w:rPr>
        <w:t>for commercial supplies.</w:t>
      </w:r>
    </w:p>
    <w:p w:rsidR="00357715" w:rsidRDefault="00357715" w:rsidP="00357715">
      <w:pPr>
        <w:pStyle w:val="PlainText"/>
        <w:jc w:val="both"/>
      </w:pPr>
    </w:p>
    <w:p w:rsidR="00357715" w:rsidRDefault="00357715" w:rsidP="00357715">
      <w:pPr>
        <w:pStyle w:val="PlainText"/>
        <w:jc w:val="both"/>
      </w:pPr>
      <w:r>
        <w:t xml:space="preserve">To further support the sustainability initiatives, ARBL is setting up a 50MW solar power plant in Chittoor District of Andhra Pradesh at a total outlay of </w:t>
      </w:r>
      <w:proofErr w:type="spellStart"/>
      <w:r>
        <w:t>Rs</w:t>
      </w:r>
      <w:proofErr w:type="spellEnd"/>
      <w:r>
        <w:t xml:space="preserve"> 220 cr. This will further reduce the cost of power and simultaneously bring down the carbon footprint of the company.</w:t>
      </w:r>
    </w:p>
    <w:p w:rsidR="00357715" w:rsidRDefault="00357715" w:rsidP="00357715">
      <w:pPr>
        <w:pStyle w:val="PlainText"/>
        <w:jc w:val="both"/>
      </w:pPr>
    </w:p>
    <w:p w:rsidR="00357715" w:rsidRDefault="00357715" w:rsidP="00357715">
      <w:pPr>
        <w:pStyle w:val="PlainText"/>
        <w:jc w:val="both"/>
      </w:pPr>
      <w:r>
        <w:t xml:space="preserve">As part of the overall lead procurement strategy, ARBL will set up a </w:t>
      </w:r>
      <w:proofErr w:type="gramStart"/>
      <w:r>
        <w:t>greenfield</w:t>
      </w:r>
      <w:proofErr w:type="gramEnd"/>
      <w:r>
        <w:t xml:space="preserve"> lead </w:t>
      </w:r>
      <w:r w:rsidR="00CD048B">
        <w:t>recycling</w:t>
      </w:r>
      <w:r>
        <w:t xml:space="preserve"> unit with a capacity of 1 lac tons. This will help the company comply with recycling standards whilst adopting advance technology in the most environmentally friendly manner. The total capital outlay for this project is expected to be </w:t>
      </w:r>
      <w:proofErr w:type="spellStart"/>
      <w:r>
        <w:t>Rs</w:t>
      </w:r>
      <w:proofErr w:type="spellEnd"/>
      <w:r>
        <w:t xml:space="preserve"> 280 </w:t>
      </w:r>
      <w:proofErr w:type="spellStart"/>
      <w:r>
        <w:t>cr</w:t>
      </w:r>
      <w:proofErr w:type="spellEnd"/>
      <w:r>
        <w:t xml:space="preserve"> to be spent over the next 18 months.</w:t>
      </w:r>
    </w:p>
    <w:p w:rsidR="00357715" w:rsidRDefault="00357715" w:rsidP="00357715">
      <w:pPr>
        <w:pStyle w:val="PlainText"/>
        <w:jc w:val="both"/>
      </w:pPr>
    </w:p>
    <w:p w:rsidR="00357715" w:rsidRDefault="00357715" w:rsidP="00357715">
      <w:r w:rsidRPr="008E2A99">
        <w:rPr>
          <w:b/>
        </w:rPr>
        <w:t xml:space="preserve">Mr. </w:t>
      </w:r>
      <w:proofErr w:type="spellStart"/>
      <w:r w:rsidRPr="008E2A99">
        <w:rPr>
          <w:b/>
        </w:rPr>
        <w:t>Jayadev</w:t>
      </w:r>
      <w:proofErr w:type="spellEnd"/>
      <w:r w:rsidRPr="008E2A99">
        <w:rPr>
          <w:b/>
        </w:rPr>
        <w:t xml:space="preserve"> </w:t>
      </w:r>
      <w:proofErr w:type="spellStart"/>
      <w:r w:rsidRPr="008E2A99">
        <w:rPr>
          <w:b/>
        </w:rPr>
        <w:t>Galla</w:t>
      </w:r>
      <w:proofErr w:type="spellEnd"/>
      <w:r w:rsidRPr="008E2A99">
        <w:rPr>
          <w:b/>
        </w:rPr>
        <w:t>, Vice Chairman &amp; Managing Director, Amara Raja Batteries Limited, said,</w:t>
      </w:r>
      <w:r>
        <w:t xml:space="preserve"> “The Indian economy has started showing sharper signs of recovery, with reduction in COVID prevalence and ongoing vaccination drive boosting industry confidence. The rebounding of the economy, with recent lessons, is improving the prospects of various market segments, especially those in which were are operating. The Indian Government has recently announced many initiatives and PLI schemes which will accelerate the growth of E-mobility and renewable energy markets.</w:t>
      </w:r>
      <w:r>
        <w:rPr>
          <w:color w:val="000000" w:themeColor="text1"/>
        </w:rPr>
        <w:t xml:space="preserve"> W</w:t>
      </w:r>
      <w:r>
        <w:t xml:space="preserve">e are </w:t>
      </w:r>
      <w:r>
        <w:lastRenderedPageBreak/>
        <w:t xml:space="preserve">assessing the </w:t>
      </w:r>
      <w:r>
        <w:rPr>
          <w:iCs/>
          <w:color w:val="000000"/>
        </w:rPr>
        <w:t xml:space="preserve">investment opportunities in </w:t>
      </w:r>
      <w:r w:rsidRPr="008E2A99">
        <w:rPr>
          <w:iCs/>
          <w:color w:val="000000"/>
        </w:rPr>
        <w:t>advanced and futuristic energy storage technologies</w:t>
      </w:r>
      <w:r w:rsidRPr="008E2A99">
        <w:rPr>
          <w:color w:val="000000" w:themeColor="text1"/>
        </w:rPr>
        <w:t xml:space="preserve"> </w:t>
      </w:r>
      <w:r>
        <w:rPr>
          <w:color w:val="000000" w:themeColor="text1"/>
        </w:rPr>
        <w:t>to address these emerging market segments.</w:t>
      </w:r>
      <w:r w:rsidRPr="008E2A99">
        <w:rPr>
          <w:color w:val="000000" w:themeColor="text1"/>
        </w:rPr>
        <w:t>”</w:t>
      </w:r>
    </w:p>
    <w:p w:rsidR="00357715" w:rsidRDefault="00357715" w:rsidP="00357715">
      <w:pPr>
        <w:pStyle w:val="PlainText"/>
        <w:jc w:val="both"/>
        <w:rPr>
          <w:b/>
        </w:rPr>
      </w:pPr>
    </w:p>
    <w:p w:rsidR="00357715" w:rsidRDefault="00357715" w:rsidP="00357715">
      <w:pPr>
        <w:pStyle w:val="PlainText"/>
        <w:jc w:val="both"/>
      </w:pPr>
      <w:r w:rsidRPr="00D9594D">
        <w:rPr>
          <w:b/>
        </w:rPr>
        <w:t xml:space="preserve">Commenting on the Q3 performance, Mr. S. </w:t>
      </w:r>
      <w:proofErr w:type="spellStart"/>
      <w:r w:rsidRPr="00D9594D">
        <w:rPr>
          <w:b/>
        </w:rPr>
        <w:t>Vijayanand</w:t>
      </w:r>
      <w:proofErr w:type="spellEnd"/>
      <w:r w:rsidRPr="00D9594D">
        <w:rPr>
          <w:b/>
        </w:rPr>
        <w:t>, CEO, Amara Raja Batteries Limited said</w:t>
      </w:r>
      <w:r>
        <w:t>, “We are going forward with strategic investments focused on improving operational efficiencies, cost optimisation and technology upgradation. The planned investments in Solar and lead recycling plants will further strengthen our resolve towards a cleaner environment through a sustainable circular economy and also aid reducing costs and provide long term support to our key raw material procurement.”</w:t>
      </w:r>
    </w:p>
    <w:p w:rsidR="00357715" w:rsidRDefault="00357715" w:rsidP="00357715">
      <w:pPr>
        <w:pStyle w:val="PlainText"/>
        <w:jc w:val="both"/>
      </w:pPr>
    </w:p>
    <w:p w:rsidR="00357715" w:rsidRDefault="00357715" w:rsidP="00357715">
      <w:pPr>
        <w:spacing w:after="0" w:line="240" w:lineRule="auto"/>
        <w:jc w:val="both"/>
        <w:rPr>
          <w:rFonts w:cstheme="minorHAnsi"/>
          <w:b/>
          <w:sz w:val="24"/>
        </w:rPr>
      </w:pPr>
      <w:r>
        <w:rPr>
          <w:rFonts w:cstheme="minorHAnsi"/>
          <w:b/>
          <w:sz w:val="24"/>
        </w:rPr>
        <w:t xml:space="preserve">About Amara Raja Batteries Limited </w:t>
      </w:r>
    </w:p>
    <w:p w:rsidR="00357715" w:rsidRDefault="00357715" w:rsidP="00357715">
      <w:pPr>
        <w:pStyle w:val="NoSpacing"/>
        <w:jc w:val="both"/>
        <w:rPr>
          <w:rFonts w:cstheme="minorHAnsi"/>
          <w:sz w:val="24"/>
        </w:rPr>
      </w:pPr>
      <w:r>
        <w:rPr>
          <w:rFonts w:cstheme="minorHAnsi"/>
          <w:sz w:val="24"/>
        </w:rPr>
        <w:t xml:space="preserve">Amara Raja Batteries Limited is the technology leader and one of the largest manufacturers of </w:t>
      </w:r>
      <w:r>
        <w:rPr>
          <w:rFonts w:cstheme="minorHAnsi"/>
          <w:noProof/>
          <w:sz w:val="24"/>
        </w:rPr>
        <w:t>lead-acid</w:t>
      </w:r>
      <w:r>
        <w:rPr>
          <w:rFonts w:cstheme="minorHAnsi"/>
          <w:sz w:val="24"/>
        </w:rPr>
        <w:t xml:space="preserve"> batteries for both industrial and automotive applications in the Indian storage battery industry.</w:t>
      </w:r>
    </w:p>
    <w:p w:rsidR="00357715" w:rsidRDefault="00357715" w:rsidP="00357715">
      <w:pPr>
        <w:pStyle w:val="NoSpacing"/>
        <w:jc w:val="both"/>
        <w:rPr>
          <w:rFonts w:cstheme="minorHAnsi"/>
          <w:sz w:val="24"/>
        </w:rPr>
      </w:pPr>
      <w:r>
        <w:rPr>
          <w:rFonts w:cstheme="minorHAnsi"/>
          <w:sz w:val="24"/>
        </w:rPr>
        <w:t xml:space="preserve">In India, Amara Raja is the preferred supplier to major telecom service providers, Telecom equipment manufacturers, the UPS sector (OEM &amp; Replacement), Indian Railways and to the Power, Oil &amp; Gas, among other industry segments. Amara Raja’s industrial battery brands comprise </w:t>
      </w:r>
      <w:proofErr w:type="spellStart"/>
      <w:r>
        <w:rPr>
          <w:rFonts w:cstheme="minorHAnsi"/>
          <w:sz w:val="24"/>
        </w:rPr>
        <w:t>PowerStack</w:t>
      </w:r>
      <w:proofErr w:type="spellEnd"/>
      <w:r>
        <w:rPr>
          <w:rFonts w:cstheme="minorHAnsi"/>
          <w:sz w:val="24"/>
          <w:vertAlign w:val="superscript"/>
        </w:rPr>
        <w:t>®</w:t>
      </w:r>
      <w:r>
        <w:rPr>
          <w:rFonts w:cstheme="minorHAnsi"/>
          <w:sz w:val="24"/>
        </w:rPr>
        <w:t xml:space="preserve">, </w:t>
      </w:r>
      <w:proofErr w:type="spellStart"/>
      <w:r>
        <w:rPr>
          <w:rFonts w:cstheme="minorHAnsi"/>
          <w:sz w:val="24"/>
        </w:rPr>
        <w:t>AmaronVolt</w:t>
      </w:r>
      <w:proofErr w:type="spellEnd"/>
      <w:r>
        <w:rPr>
          <w:rFonts w:cstheme="minorHAnsi"/>
          <w:sz w:val="24"/>
          <w:vertAlign w:val="superscript"/>
        </w:rPr>
        <w:t>®</w:t>
      </w:r>
      <w:r>
        <w:rPr>
          <w:rFonts w:cstheme="minorHAnsi"/>
          <w:sz w:val="24"/>
        </w:rPr>
        <w:t xml:space="preserve"> and Quanta</w:t>
      </w:r>
      <w:r>
        <w:rPr>
          <w:rFonts w:cstheme="minorHAnsi"/>
          <w:sz w:val="24"/>
          <w:vertAlign w:val="superscript"/>
        </w:rPr>
        <w:t>®</w:t>
      </w:r>
      <w:r>
        <w:rPr>
          <w:rFonts w:cstheme="minorHAnsi"/>
          <w:sz w:val="24"/>
        </w:rPr>
        <w:t xml:space="preserve">. The Company is a leading manufacturer of automotive batteries under the brands </w:t>
      </w:r>
      <w:proofErr w:type="spellStart"/>
      <w:r>
        <w:rPr>
          <w:rFonts w:cstheme="minorHAnsi"/>
          <w:sz w:val="24"/>
        </w:rPr>
        <w:t>Amaron</w:t>
      </w:r>
      <w:proofErr w:type="spellEnd"/>
      <w:r>
        <w:rPr>
          <w:rFonts w:cstheme="minorHAnsi"/>
          <w:sz w:val="24"/>
          <w:vertAlign w:val="superscript"/>
        </w:rPr>
        <w:t>®</w:t>
      </w:r>
      <w:r>
        <w:rPr>
          <w:rFonts w:cstheme="minorHAnsi"/>
          <w:sz w:val="24"/>
        </w:rPr>
        <w:t xml:space="preserve"> and </w:t>
      </w:r>
      <w:r>
        <w:rPr>
          <w:rFonts w:cstheme="minorHAnsi"/>
          <w:noProof/>
          <w:sz w:val="24"/>
        </w:rPr>
        <w:t>Powerzone</w:t>
      </w:r>
      <w:r>
        <w:rPr>
          <w:rFonts w:cstheme="minorHAnsi"/>
          <w:noProof/>
          <w:sz w:val="24"/>
          <w:vertAlign w:val="superscript"/>
        </w:rPr>
        <w:t>TM</w:t>
      </w:r>
      <w:r>
        <w:rPr>
          <w:rFonts w:cstheme="minorHAnsi"/>
          <w:sz w:val="24"/>
        </w:rPr>
        <w:t>, which are distributed through a large Pan-India sales &amp; service retail network.</w:t>
      </w:r>
    </w:p>
    <w:p w:rsidR="00357715" w:rsidRDefault="00357715" w:rsidP="00357715">
      <w:pPr>
        <w:pStyle w:val="NoSpacing"/>
        <w:jc w:val="both"/>
        <w:rPr>
          <w:rFonts w:cstheme="minorHAnsi"/>
          <w:sz w:val="24"/>
        </w:rPr>
      </w:pPr>
      <w:r>
        <w:rPr>
          <w:rFonts w:cstheme="minorHAnsi"/>
          <w:sz w:val="24"/>
        </w:rPr>
        <w:t xml:space="preserve">The Company supplies automotive batteries under OE relationships to Ashok Leyland, Ford India, Honda, Hyundai, Mahindra &amp; Mahindra, </w:t>
      </w:r>
      <w:proofErr w:type="spellStart"/>
      <w:r>
        <w:rPr>
          <w:rFonts w:cstheme="minorHAnsi"/>
          <w:sz w:val="24"/>
        </w:rPr>
        <w:t>Maruti</w:t>
      </w:r>
      <w:proofErr w:type="spellEnd"/>
      <w:r>
        <w:rPr>
          <w:rFonts w:cstheme="minorHAnsi"/>
          <w:sz w:val="24"/>
        </w:rPr>
        <w:t xml:space="preserve"> Suzuki, and Tata Motors. The Company’s Industrial and Automotive Batteries are exported to countries in the Indian Ocean Rim.</w:t>
      </w:r>
    </w:p>
    <w:p w:rsidR="00357715" w:rsidRDefault="00357715" w:rsidP="00357715">
      <w:pPr>
        <w:pStyle w:val="NoSpacing"/>
        <w:jc w:val="both"/>
        <w:rPr>
          <w:rFonts w:cstheme="minorHAnsi"/>
          <w:color w:val="000000"/>
          <w:sz w:val="24"/>
        </w:rPr>
      </w:pPr>
    </w:p>
    <w:p w:rsidR="00357715" w:rsidRDefault="00357715" w:rsidP="00357715">
      <w:pPr>
        <w:spacing w:after="0" w:line="240" w:lineRule="auto"/>
        <w:jc w:val="both"/>
        <w:rPr>
          <w:rFonts w:eastAsia="Times New Roman" w:cstheme="minorHAnsi"/>
          <w:sz w:val="24"/>
        </w:rPr>
      </w:pPr>
      <w:r>
        <w:rPr>
          <w:rFonts w:eastAsia="Times New Roman" w:cstheme="minorHAnsi"/>
          <w:b/>
          <w:bCs/>
          <w:sz w:val="24"/>
        </w:rPr>
        <w:t xml:space="preserve">Safe </w:t>
      </w:r>
      <w:proofErr w:type="spellStart"/>
      <w:r>
        <w:rPr>
          <w:rFonts w:eastAsia="Times New Roman" w:cstheme="minorHAnsi"/>
          <w:b/>
          <w:bCs/>
          <w:sz w:val="24"/>
        </w:rPr>
        <w:t>Harbor</w:t>
      </w:r>
      <w:proofErr w:type="spellEnd"/>
    </w:p>
    <w:p w:rsidR="00357715" w:rsidRDefault="00357715" w:rsidP="00357715">
      <w:pPr>
        <w:spacing w:after="0" w:line="240" w:lineRule="auto"/>
        <w:jc w:val="both"/>
        <w:rPr>
          <w:rFonts w:cstheme="minorHAnsi"/>
          <w:sz w:val="24"/>
        </w:rPr>
      </w:pPr>
      <w:r>
        <w:rPr>
          <w:rFonts w:cstheme="minorHAnsi"/>
          <w:sz w:val="24"/>
        </w:rPr>
        <w:t>Some of the statements in this news release that are not historical facts are forward looking statements. These forward looking statements include our financial and growth projections as well as statements concerning our plans, strategies, intentions and beliefs concerning our business and the markets in which we operate. These statements are based on information currently available to us, and we assume no obligation to update these statements as circumstances change. There are risks and uncertainties that could cause actual events to differ materially from these forward looking statements. These risks include, but are not limited to, the level of the market demand for our products, the highly competitive market for the types of the products that we offer, market condition that would cause our customers to reduce their spending for our products, our ability to create, acquire and build new businesses and to grow our existing businesses, our ability to attract and retain qualified personnel, currency fluctuations and market conditions in India and elsewhere around the world, and otherwise not specifically mentioned herein but those that are common to industry.</w:t>
      </w:r>
    </w:p>
    <w:p w:rsidR="00357715" w:rsidRDefault="00357715" w:rsidP="00357715">
      <w:pPr>
        <w:autoSpaceDE w:val="0"/>
        <w:autoSpaceDN w:val="0"/>
        <w:spacing w:line="240" w:lineRule="auto"/>
        <w:jc w:val="both"/>
        <w:rPr>
          <w:rFonts w:cstheme="minorHAnsi"/>
          <w:sz w:val="24"/>
        </w:rPr>
      </w:pPr>
    </w:p>
    <w:p w:rsidR="00357715" w:rsidRDefault="00357715" w:rsidP="00357715">
      <w:pPr>
        <w:pStyle w:val="PlainText"/>
        <w:jc w:val="both"/>
      </w:pPr>
    </w:p>
    <w:p w:rsidR="00357715" w:rsidRDefault="00357715" w:rsidP="00357715"/>
    <w:p w:rsidR="00357715" w:rsidRPr="00D9594D" w:rsidRDefault="00357715" w:rsidP="00357715"/>
    <w:p w:rsidR="00150AEF" w:rsidRPr="00D9594D" w:rsidRDefault="00150AEF" w:rsidP="00357715">
      <w:pPr>
        <w:pStyle w:val="PlainText"/>
        <w:jc w:val="both"/>
      </w:pPr>
      <w:bookmarkStart w:id="0" w:name="_GoBack"/>
      <w:bookmarkEnd w:id="0"/>
    </w:p>
    <w:sectPr w:rsidR="00150AEF" w:rsidRPr="00D9594D" w:rsidSect="005A7B95">
      <w:headerReference w:type="default" r:id="rId7"/>
      <w:pgSz w:w="11906" w:h="16838"/>
      <w:pgMar w:top="180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CE7" w:rsidRDefault="00B62CE7" w:rsidP="00150AEF">
      <w:pPr>
        <w:spacing w:after="0" w:line="240" w:lineRule="auto"/>
      </w:pPr>
      <w:r>
        <w:separator/>
      </w:r>
    </w:p>
  </w:endnote>
  <w:endnote w:type="continuationSeparator" w:id="0">
    <w:p w:rsidR="00B62CE7" w:rsidRDefault="00B62CE7" w:rsidP="00150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CE7" w:rsidRDefault="00B62CE7" w:rsidP="00150AEF">
      <w:pPr>
        <w:spacing w:after="0" w:line="240" w:lineRule="auto"/>
      </w:pPr>
      <w:r>
        <w:separator/>
      </w:r>
    </w:p>
  </w:footnote>
  <w:footnote w:type="continuationSeparator" w:id="0">
    <w:p w:rsidR="00B62CE7" w:rsidRDefault="00B62CE7" w:rsidP="00150A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B95" w:rsidRPr="006543C0" w:rsidRDefault="005A7B95" w:rsidP="005A7B95">
    <w:pPr>
      <w:pStyle w:val="Header"/>
      <w:rPr>
        <w:rFonts w:ascii="Tahoma" w:hAnsi="Tahoma" w:cs="Tahoma"/>
        <w:sz w:val="20"/>
        <w:szCs w:val="20"/>
      </w:rPr>
    </w:pPr>
    <w:r w:rsidRPr="006543C0">
      <w:rPr>
        <w:rFonts w:ascii="Tahoma" w:eastAsia="Times New Roman" w:hAnsi="Tahoma" w:cs="Tahoma"/>
        <w:noProof/>
        <w:color w:val="636363"/>
        <w:sz w:val="20"/>
        <w:szCs w:val="20"/>
        <w:lang w:eastAsia="en-IN"/>
      </w:rPr>
      <w:drawing>
        <wp:anchor distT="0" distB="0" distL="114300" distR="114300" simplePos="0" relativeHeight="251659264" behindDoc="0" locked="0" layoutInCell="1" allowOverlap="1" wp14:anchorId="3D2348B7" wp14:editId="0DA96FD2">
          <wp:simplePos x="0" y="0"/>
          <wp:positionH relativeFrom="page">
            <wp:posOffset>5724525</wp:posOffset>
          </wp:positionH>
          <wp:positionV relativeFrom="paragraph">
            <wp:posOffset>-190500</wp:posOffset>
          </wp:positionV>
          <wp:extent cx="932815" cy="857250"/>
          <wp:effectExtent l="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2815" cy="857250"/>
                  </a:xfrm>
                  <a:prstGeom prst="rect">
                    <a:avLst/>
                  </a:prstGeom>
                </pic:spPr>
              </pic:pic>
            </a:graphicData>
          </a:graphic>
          <wp14:sizeRelH relativeFrom="margin">
            <wp14:pctWidth>0</wp14:pctWidth>
          </wp14:sizeRelH>
          <wp14:sizeRelV relativeFrom="margin">
            <wp14:pctHeight>0</wp14:pctHeight>
          </wp14:sizeRelV>
        </wp:anchor>
      </w:drawing>
    </w:r>
    <w:r w:rsidRPr="006543C0">
      <w:rPr>
        <w:rFonts w:ascii="Tahoma" w:hAnsi="Tahoma" w:cs="Tahoma"/>
        <w:sz w:val="20"/>
        <w:szCs w:val="20"/>
      </w:rPr>
      <w:t xml:space="preserve">Press </w:t>
    </w:r>
    <w:r>
      <w:rPr>
        <w:rFonts w:ascii="Tahoma" w:hAnsi="Tahoma" w:cs="Tahoma"/>
        <w:sz w:val="20"/>
        <w:szCs w:val="20"/>
      </w:rPr>
      <w:t>R</w:t>
    </w:r>
    <w:r w:rsidRPr="006543C0">
      <w:rPr>
        <w:rFonts w:ascii="Tahoma" w:hAnsi="Tahoma" w:cs="Tahoma"/>
        <w:sz w:val="20"/>
        <w:szCs w:val="20"/>
      </w:rPr>
      <w:t>elease</w:t>
    </w:r>
  </w:p>
  <w:p w:rsidR="00150AEF" w:rsidRDefault="005A7B95" w:rsidP="005A7B95">
    <w:pPr>
      <w:pStyle w:val="Header"/>
    </w:pPr>
    <w:r w:rsidRPr="006543C0">
      <w:rPr>
        <w:rFonts w:ascii="Tahoma" w:hAnsi="Tahoma" w:cs="Tahoma"/>
        <w:sz w:val="20"/>
        <w:szCs w:val="20"/>
      </w:rPr>
      <w:t>For Immediate dissemination</w:t>
    </w:r>
    <w:r w:rsidRPr="006543C0">
      <w:rPr>
        <w:rFonts w:ascii="Tahoma" w:eastAsia="Times New Roman" w:hAnsi="Tahoma" w:cs="Tahoma"/>
        <w:noProof/>
        <w:color w:val="636363"/>
        <w:sz w:val="20"/>
        <w:szCs w:val="20"/>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3542B"/>
    <w:multiLevelType w:val="hybridMultilevel"/>
    <w:tmpl w:val="6EC62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F73B3"/>
    <w:multiLevelType w:val="hybridMultilevel"/>
    <w:tmpl w:val="EC1A61D6"/>
    <w:lvl w:ilvl="0" w:tplc="A9B2B1DC">
      <w:start w:val="1"/>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15:restartNumberingAfterBreak="0">
    <w:nsid w:val="6D30094D"/>
    <w:multiLevelType w:val="hybridMultilevel"/>
    <w:tmpl w:val="E29ADF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7E5"/>
    <w:rsid w:val="00026E1E"/>
    <w:rsid w:val="000300B4"/>
    <w:rsid w:val="00074AA5"/>
    <w:rsid w:val="00096EAA"/>
    <w:rsid w:val="000A04AF"/>
    <w:rsid w:val="000B127C"/>
    <w:rsid w:val="000E0EDC"/>
    <w:rsid w:val="000E748F"/>
    <w:rsid w:val="000F70A2"/>
    <w:rsid w:val="00111429"/>
    <w:rsid w:val="00145FC6"/>
    <w:rsid w:val="00150AEF"/>
    <w:rsid w:val="001572DD"/>
    <w:rsid w:val="001728BA"/>
    <w:rsid w:val="0017525C"/>
    <w:rsid w:val="001A7B96"/>
    <w:rsid w:val="001D41DD"/>
    <w:rsid w:val="001D4D52"/>
    <w:rsid w:val="001F77E5"/>
    <w:rsid w:val="00232E6D"/>
    <w:rsid w:val="0023384A"/>
    <w:rsid w:val="002456E6"/>
    <w:rsid w:val="0028654A"/>
    <w:rsid w:val="002B5E0C"/>
    <w:rsid w:val="002C5DB9"/>
    <w:rsid w:val="002E1496"/>
    <w:rsid w:val="00320D44"/>
    <w:rsid w:val="003231E2"/>
    <w:rsid w:val="00342223"/>
    <w:rsid w:val="003522F0"/>
    <w:rsid w:val="00357715"/>
    <w:rsid w:val="00365856"/>
    <w:rsid w:val="003866E5"/>
    <w:rsid w:val="003A637A"/>
    <w:rsid w:val="003C2844"/>
    <w:rsid w:val="003C7986"/>
    <w:rsid w:val="003D36FC"/>
    <w:rsid w:val="003E6C41"/>
    <w:rsid w:val="004018DF"/>
    <w:rsid w:val="00402B54"/>
    <w:rsid w:val="00406F4C"/>
    <w:rsid w:val="0042302D"/>
    <w:rsid w:val="00445CC0"/>
    <w:rsid w:val="00480A44"/>
    <w:rsid w:val="00487284"/>
    <w:rsid w:val="004A2115"/>
    <w:rsid w:val="004A363D"/>
    <w:rsid w:val="004D3E4B"/>
    <w:rsid w:val="00524988"/>
    <w:rsid w:val="005530F0"/>
    <w:rsid w:val="00555690"/>
    <w:rsid w:val="00563C68"/>
    <w:rsid w:val="005851A9"/>
    <w:rsid w:val="005933FE"/>
    <w:rsid w:val="00597EC6"/>
    <w:rsid w:val="005A7B95"/>
    <w:rsid w:val="005B7F21"/>
    <w:rsid w:val="005D7680"/>
    <w:rsid w:val="005E53D6"/>
    <w:rsid w:val="005E639B"/>
    <w:rsid w:val="005F1A51"/>
    <w:rsid w:val="005F2F9B"/>
    <w:rsid w:val="00612EB1"/>
    <w:rsid w:val="00631E66"/>
    <w:rsid w:val="00643CE2"/>
    <w:rsid w:val="006556ED"/>
    <w:rsid w:val="00656E1C"/>
    <w:rsid w:val="006B16A9"/>
    <w:rsid w:val="006C0D88"/>
    <w:rsid w:val="006C7E6D"/>
    <w:rsid w:val="0070693A"/>
    <w:rsid w:val="00713164"/>
    <w:rsid w:val="007144E5"/>
    <w:rsid w:val="00717BA4"/>
    <w:rsid w:val="00740A85"/>
    <w:rsid w:val="007A3DA9"/>
    <w:rsid w:val="007A78AC"/>
    <w:rsid w:val="007F211A"/>
    <w:rsid w:val="007F346F"/>
    <w:rsid w:val="008045BC"/>
    <w:rsid w:val="00830F5A"/>
    <w:rsid w:val="0084320E"/>
    <w:rsid w:val="00857E67"/>
    <w:rsid w:val="008748C5"/>
    <w:rsid w:val="0088675D"/>
    <w:rsid w:val="008C14A2"/>
    <w:rsid w:val="008C1D9D"/>
    <w:rsid w:val="008C1DA7"/>
    <w:rsid w:val="008C1DCC"/>
    <w:rsid w:val="008C66C5"/>
    <w:rsid w:val="008C71C0"/>
    <w:rsid w:val="008C777C"/>
    <w:rsid w:val="008C78E6"/>
    <w:rsid w:val="008D34D3"/>
    <w:rsid w:val="008F1165"/>
    <w:rsid w:val="00905CC3"/>
    <w:rsid w:val="00905E99"/>
    <w:rsid w:val="00911D5E"/>
    <w:rsid w:val="009327F3"/>
    <w:rsid w:val="00935394"/>
    <w:rsid w:val="00937C43"/>
    <w:rsid w:val="00957CA1"/>
    <w:rsid w:val="00965766"/>
    <w:rsid w:val="0097380F"/>
    <w:rsid w:val="00984A98"/>
    <w:rsid w:val="009948B3"/>
    <w:rsid w:val="009A7659"/>
    <w:rsid w:val="009B3C61"/>
    <w:rsid w:val="009C1A41"/>
    <w:rsid w:val="009E09D2"/>
    <w:rsid w:val="009E4000"/>
    <w:rsid w:val="00A074FE"/>
    <w:rsid w:val="00A407D2"/>
    <w:rsid w:val="00A45965"/>
    <w:rsid w:val="00A45B86"/>
    <w:rsid w:val="00A52C7E"/>
    <w:rsid w:val="00AC033E"/>
    <w:rsid w:val="00AC7E16"/>
    <w:rsid w:val="00AD2FF6"/>
    <w:rsid w:val="00AF0B93"/>
    <w:rsid w:val="00AF60D0"/>
    <w:rsid w:val="00B053E6"/>
    <w:rsid w:val="00B16C48"/>
    <w:rsid w:val="00B36F14"/>
    <w:rsid w:val="00B4725E"/>
    <w:rsid w:val="00B62CE7"/>
    <w:rsid w:val="00B66B1F"/>
    <w:rsid w:val="00B82650"/>
    <w:rsid w:val="00B87BF5"/>
    <w:rsid w:val="00B91288"/>
    <w:rsid w:val="00B9224C"/>
    <w:rsid w:val="00B92C2D"/>
    <w:rsid w:val="00B932EF"/>
    <w:rsid w:val="00B94718"/>
    <w:rsid w:val="00B977AD"/>
    <w:rsid w:val="00BA223E"/>
    <w:rsid w:val="00BA4E5A"/>
    <w:rsid w:val="00BB4BE5"/>
    <w:rsid w:val="00BD38C2"/>
    <w:rsid w:val="00BD5D31"/>
    <w:rsid w:val="00BF099B"/>
    <w:rsid w:val="00BF4427"/>
    <w:rsid w:val="00BF51D4"/>
    <w:rsid w:val="00C0115D"/>
    <w:rsid w:val="00C0242B"/>
    <w:rsid w:val="00C25A58"/>
    <w:rsid w:val="00C41C7B"/>
    <w:rsid w:val="00C6661E"/>
    <w:rsid w:val="00C7189B"/>
    <w:rsid w:val="00C723F0"/>
    <w:rsid w:val="00C749D5"/>
    <w:rsid w:val="00C75525"/>
    <w:rsid w:val="00C779BC"/>
    <w:rsid w:val="00C86DF1"/>
    <w:rsid w:val="00C956DF"/>
    <w:rsid w:val="00CD048B"/>
    <w:rsid w:val="00CD4D9C"/>
    <w:rsid w:val="00CD7848"/>
    <w:rsid w:val="00CE1678"/>
    <w:rsid w:val="00CE181D"/>
    <w:rsid w:val="00CF1E8A"/>
    <w:rsid w:val="00D064AC"/>
    <w:rsid w:val="00D07951"/>
    <w:rsid w:val="00D15E6A"/>
    <w:rsid w:val="00D343EE"/>
    <w:rsid w:val="00D355B1"/>
    <w:rsid w:val="00D7033E"/>
    <w:rsid w:val="00D87B9C"/>
    <w:rsid w:val="00D93D96"/>
    <w:rsid w:val="00D9537B"/>
    <w:rsid w:val="00D9594D"/>
    <w:rsid w:val="00DA02AC"/>
    <w:rsid w:val="00E10CCF"/>
    <w:rsid w:val="00E17476"/>
    <w:rsid w:val="00E47F87"/>
    <w:rsid w:val="00E73953"/>
    <w:rsid w:val="00E7671F"/>
    <w:rsid w:val="00E94076"/>
    <w:rsid w:val="00EA12CE"/>
    <w:rsid w:val="00EA629D"/>
    <w:rsid w:val="00EE5AE1"/>
    <w:rsid w:val="00EE5C35"/>
    <w:rsid w:val="00F07CCE"/>
    <w:rsid w:val="00F139FC"/>
    <w:rsid w:val="00F34072"/>
    <w:rsid w:val="00F423B7"/>
    <w:rsid w:val="00F423D2"/>
    <w:rsid w:val="00F446FF"/>
    <w:rsid w:val="00F73D77"/>
    <w:rsid w:val="00F74C6F"/>
    <w:rsid w:val="00F75773"/>
    <w:rsid w:val="00FA60EC"/>
    <w:rsid w:val="00FC3182"/>
    <w:rsid w:val="00FC7ED6"/>
    <w:rsid w:val="00FD393B"/>
    <w:rsid w:val="00FE0902"/>
    <w:rsid w:val="00FF2A5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47AD29-88B5-4FCB-BAA2-9F129025A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94D"/>
    <w:pPr>
      <w:spacing w:line="256" w:lineRule="auto"/>
    </w:pPr>
  </w:style>
  <w:style w:type="paragraph" w:styleId="Heading3">
    <w:name w:val="heading 3"/>
    <w:basedOn w:val="Normal"/>
    <w:link w:val="Heading3Char"/>
    <w:uiPriority w:val="9"/>
    <w:qFormat/>
    <w:rsid w:val="001F77E5"/>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5">
    <w:name w:val="heading 5"/>
    <w:basedOn w:val="Normal"/>
    <w:link w:val="Heading5Char"/>
    <w:uiPriority w:val="9"/>
    <w:qFormat/>
    <w:rsid w:val="001F77E5"/>
    <w:pPr>
      <w:spacing w:before="100" w:beforeAutospacing="1" w:after="100" w:afterAutospacing="1" w:line="240" w:lineRule="auto"/>
      <w:outlineLvl w:val="4"/>
    </w:pPr>
    <w:rPr>
      <w:rFonts w:ascii="Times New Roman" w:eastAsia="Times New Roman" w:hAnsi="Times New Roman" w:cs="Times New Roman"/>
      <w:b/>
      <w:bCs/>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F77E5"/>
    <w:rPr>
      <w:rFonts w:ascii="Times New Roman" w:eastAsia="Times New Roman" w:hAnsi="Times New Roman" w:cs="Times New Roman"/>
      <w:b/>
      <w:bCs/>
      <w:sz w:val="27"/>
      <w:szCs w:val="27"/>
      <w:lang w:eastAsia="en-IN"/>
    </w:rPr>
  </w:style>
  <w:style w:type="character" w:customStyle="1" w:styleId="Heading5Char">
    <w:name w:val="Heading 5 Char"/>
    <w:basedOn w:val="DefaultParagraphFont"/>
    <w:link w:val="Heading5"/>
    <w:uiPriority w:val="9"/>
    <w:rsid w:val="001F77E5"/>
    <w:rPr>
      <w:rFonts w:ascii="Times New Roman" w:eastAsia="Times New Roman" w:hAnsi="Times New Roman" w:cs="Times New Roman"/>
      <w:b/>
      <w:bCs/>
      <w:sz w:val="20"/>
      <w:szCs w:val="20"/>
      <w:lang w:eastAsia="en-IN"/>
    </w:rPr>
  </w:style>
  <w:style w:type="paragraph" w:styleId="NormalWeb">
    <w:name w:val="Normal (Web)"/>
    <w:basedOn w:val="Normal"/>
    <w:uiPriority w:val="99"/>
    <w:unhideWhenUsed/>
    <w:rsid w:val="001F77E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1F77E5"/>
    <w:rPr>
      <w:b/>
      <w:bCs/>
    </w:rPr>
  </w:style>
  <w:style w:type="paragraph" w:styleId="ListParagraph">
    <w:name w:val="List Paragraph"/>
    <w:basedOn w:val="Normal"/>
    <w:uiPriority w:val="34"/>
    <w:qFormat/>
    <w:rsid w:val="00F446FF"/>
    <w:pPr>
      <w:spacing w:after="0" w:line="240" w:lineRule="auto"/>
      <w:ind w:left="720"/>
    </w:pPr>
    <w:rPr>
      <w:rFonts w:ascii="Calibri" w:hAnsi="Calibri" w:cs="Calibri"/>
      <w:lang w:eastAsia="en-IN"/>
    </w:rPr>
  </w:style>
  <w:style w:type="paragraph" w:styleId="NoSpacing">
    <w:name w:val="No Spacing"/>
    <w:uiPriority w:val="1"/>
    <w:qFormat/>
    <w:rsid w:val="00BD38C2"/>
    <w:pPr>
      <w:spacing w:after="0" w:line="240" w:lineRule="auto"/>
    </w:pPr>
  </w:style>
  <w:style w:type="table" w:styleId="TableGrid">
    <w:name w:val="Table Grid"/>
    <w:basedOn w:val="TableNormal"/>
    <w:uiPriority w:val="59"/>
    <w:rsid w:val="00150AE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50AEF"/>
    <w:rPr>
      <w:i/>
      <w:iCs/>
    </w:rPr>
  </w:style>
  <w:style w:type="paragraph" w:styleId="Header">
    <w:name w:val="header"/>
    <w:basedOn w:val="Normal"/>
    <w:link w:val="HeaderChar"/>
    <w:uiPriority w:val="99"/>
    <w:unhideWhenUsed/>
    <w:rsid w:val="00150A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0AEF"/>
  </w:style>
  <w:style w:type="paragraph" w:styleId="Footer">
    <w:name w:val="footer"/>
    <w:basedOn w:val="Normal"/>
    <w:link w:val="FooterChar"/>
    <w:uiPriority w:val="99"/>
    <w:unhideWhenUsed/>
    <w:rsid w:val="00150A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0AEF"/>
  </w:style>
  <w:style w:type="paragraph" w:styleId="BalloonText">
    <w:name w:val="Balloon Text"/>
    <w:basedOn w:val="Normal"/>
    <w:link w:val="BalloonTextChar"/>
    <w:uiPriority w:val="99"/>
    <w:semiHidden/>
    <w:unhideWhenUsed/>
    <w:rsid w:val="00FC7E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ED6"/>
    <w:rPr>
      <w:rFonts w:ascii="Segoe UI" w:hAnsi="Segoe UI" w:cs="Segoe UI"/>
      <w:sz w:val="18"/>
      <w:szCs w:val="18"/>
    </w:rPr>
  </w:style>
  <w:style w:type="paragraph" w:styleId="PlainText">
    <w:name w:val="Plain Text"/>
    <w:basedOn w:val="Normal"/>
    <w:link w:val="PlainTextChar"/>
    <w:uiPriority w:val="99"/>
    <w:unhideWhenUsed/>
    <w:rsid w:val="00D9594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9594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80385">
      <w:bodyDiv w:val="1"/>
      <w:marLeft w:val="0"/>
      <w:marRight w:val="0"/>
      <w:marTop w:val="0"/>
      <w:marBottom w:val="0"/>
      <w:divBdr>
        <w:top w:val="none" w:sz="0" w:space="0" w:color="auto"/>
        <w:left w:val="none" w:sz="0" w:space="0" w:color="auto"/>
        <w:bottom w:val="none" w:sz="0" w:space="0" w:color="auto"/>
        <w:right w:val="none" w:sz="0" w:space="0" w:color="auto"/>
      </w:divBdr>
    </w:div>
    <w:div w:id="189150431">
      <w:bodyDiv w:val="1"/>
      <w:marLeft w:val="0"/>
      <w:marRight w:val="0"/>
      <w:marTop w:val="0"/>
      <w:marBottom w:val="0"/>
      <w:divBdr>
        <w:top w:val="none" w:sz="0" w:space="0" w:color="auto"/>
        <w:left w:val="none" w:sz="0" w:space="0" w:color="auto"/>
        <w:bottom w:val="none" w:sz="0" w:space="0" w:color="auto"/>
        <w:right w:val="none" w:sz="0" w:space="0" w:color="auto"/>
      </w:divBdr>
    </w:div>
    <w:div w:id="447357423">
      <w:bodyDiv w:val="1"/>
      <w:marLeft w:val="0"/>
      <w:marRight w:val="0"/>
      <w:marTop w:val="0"/>
      <w:marBottom w:val="0"/>
      <w:divBdr>
        <w:top w:val="none" w:sz="0" w:space="0" w:color="auto"/>
        <w:left w:val="none" w:sz="0" w:space="0" w:color="auto"/>
        <w:bottom w:val="none" w:sz="0" w:space="0" w:color="auto"/>
        <w:right w:val="none" w:sz="0" w:space="0" w:color="auto"/>
      </w:divBdr>
    </w:div>
    <w:div w:id="686369423">
      <w:bodyDiv w:val="1"/>
      <w:marLeft w:val="0"/>
      <w:marRight w:val="0"/>
      <w:marTop w:val="0"/>
      <w:marBottom w:val="0"/>
      <w:divBdr>
        <w:top w:val="none" w:sz="0" w:space="0" w:color="auto"/>
        <w:left w:val="none" w:sz="0" w:space="0" w:color="auto"/>
        <w:bottom w:val="none" w:sz="0" w:space="0" w:color="auto"/>
        <w:right w:val="none" w:sz="0" w:space="0" w:color="auto"/>
      </w:divBdr>
    </w:div>
    <w:div w:id="846213431">
      <w:bodyDiv w:val="1"/>
      <w:marLeft w:val="0"/>
      <w:marRight w:val="0"/>
      <w:marTop w:val="0"/>
      <w:marBottom w:val="0"/>
      <w:divBdr>
        <w:top w:val="none" w:sz="0" w:space="0" w:color="auto"/>
        <w:left w:val="none" w:sz="0" w:space="0" w:color="auto"/>
        <w:bottom w:val="none" w:sz="0" w:space="0" w:color="auto"/>
        <w:right w:val="none" w:sz="0" w:space="0" w:color="auto"/>
      </w:divBdr>
    </w:div>
    <w:div w:id="862400803">
      <w:bodyDiv w:val="1"/>
      <w:marLeft w:val="0"/>
      <w:marRight w:val="0"/>
      <w:marTop w:val="0"/>
      <w:marBottom w:val="0"/>
      <w:divBdr>
        <w:top w:val="none" w:sz="0" w:space="0" w:color="auto"/>
        <w:left w:val="none" w:sz="0" w:space="0" w:color="auto"/>
        <w:bottom w:val="none" w:sz="0" w:space="0" w:color="auto"/>
        <w:right w:val="none" w:sz="0" w:space="0" w:color="auto"/>
      </w:divBdr>
    </w:div>
    <w:div w:id="1085955097">
      <w:bodyDiv w:val="1"/>
      <w:marLeft w:val="0"/>
      <w:marRight w:val="0"/>
      <w:marTop w:val="0"/>
      <w:marBottom w:val="0"/>
      <w:divBdr>
        <w:top w:val="none" w:sz="0" w:space="0" w:color="auto"/>
        <w:left w:val="none" w:sz="0" w:space="0" w:color="auto"/>
        <w:bottom w:val="none" w:sz="0" w:space="0" w:color="auto"/>
        <w:right w:val="none" w:sz="0" w:space="0" w:color="auto"/>
      </w:divBdr>
    </w:div>
    <w:div w:id="1131291248">
      <w:bodyDiv w:val="1"/>
      <w:marLeft w:val="0"/>
      <w:marRight w:val="0"/>
      <w:marTop w:val="0"/>
      <w:marBottom w:val="0"/>
      <w:divBdr>
        <w:top w:val="none" w:sz="0" w:space="0" w:color="auto"/>
        <w:left w:val="none" w:sz="0" w:space="0" w:color="auto"/>
        <w:bottom w:val="none" w:sz="0" w:space="0" w:color="auto"/>
        <w:right w:val="none" w:sz="0" w:space="0" w:color="auto"/>
      </w:divBdr>
    </w:div>
    <w:div w:id="1273587595">
      <w:bodyDiv w:val="1"/>
      <w:marLeft w:val="0"/>
      <w:marRight w:val="0"/>
      <w:marTop w:val="0"/>
      <w:marBottom w:val="0"/>
      <w:divBdr>
        <w:top w:val="none" w:sz="0" w:space="0" w:color="auto"/>
        <w:left w:val="none" w:sz="0" w:space="0" w:color="auto"/>
        <w:bottom w:val="none" w:sz="0" w:space="0" w:color="auto"/>
        <w:right w:val="none" w:sz="0" w:space="0" w:color="auto"/>
      </w:divBdr>
    </w:div>
    <w:div w:id="1334988932">
      <w:bodyDiv w:val="1"/>
      <w:marLeft w:val="0"/>
      <w:marRight w:val="0"/>
      <w:marTop w:val="0"/>
      <w:marBottom w:val="0"/>
      <w:divBdr>
        <w:top w:val="none" w:sz="0" w:space="0" w:color="auto"/>
        <w:left w:val="none" w:sz="0" w:space="0" w:color="auto"/>
        <w:bottom w:val="none" w:sz="0" w:space="0" w:color="auto"/>
        <w:right w:val="none" w:sz="0" w:space="0" w:color="auto"/>
      </w:divBdr>
    </w:div>
    <w:div w:id="1417287627">
      <w:bodyDiv w:val="1"/>
      <w:marLeft w:val="0"/>
      <w:marRight w:val="0"/>
      <w:marTop w:val="0"/>
      <w:marBottom w:val="0"/>
      <w:divBdr>
        <w:top w:val="none" w:sz="0" w:space="0" w:color="auto"/>
        <w:left w:val="none" w:sz="0" w:space="0" w:color="auto"/>
        <w:bottom w:val="none" w:sz="0" w:space="0" w:color="auto"/>
        <w:right w:val="none" w:sz="0" w:space="0" w:color="auto"/>
      </w:divBdr>
    </w:div>
    <w:div w:id="1573151197">
      <w:bodyDiv w:val="1"/>
      <w:marLeft w:val="0"/>
      <w:marRight w:val="0"/>
      <w:marTop w:val="0"/>
      <w:marBottom w:val="0"/>
      <w:divBdr>
        <w:top w:val="none" w:sz="0" w:space="0" w:color="auto"/>
        <w:left w:val="none" w:sz="0" w:space="0" w:color="auto"/>
        <w:bottom w:val="none" w:sz="0" w:space="0" w:color="auto"/>
        <w:right w:val="none" w:sz="0" w:space="0" w:color="auto"/>
      </w:divBdr>
    </w:div>
    <w:div w:id="1689452556">
      <w:bodyDiv w:val="1"/>
      <w:marLeft w:val="0"/>
      <w:marRight w:val="0"/>
      <w:marTop w:val="0"/>
      <w:marBottom w:val="0"/>
      <w:divBdr>
        <w:top w:val="none" w:sz="0" w:space="0" w:color="auto"/>
        <w:left w:val="none" w:sz="0" w:space="0" w:color="auto"/>
        <w:bottom w:val="none" w:sz="0" w:space="0" w:color="auto"/>
        <w:right w:val="none" w:sz="0" w:space="0" w:color="auto"/>
      </w:divBdr>
    </w:div>
    <w:div w:id="209639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852</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Soham Majumdar</dc:creator>
  <cp:keywords/>
  <dc:description/>
  <cp:lastModifiedBy>Jaspreet Kaur</cp:lastModifiedBy>
  <cp:revision>2</cp:revision>
  <cp:lastPrinted>2021-02-13T05:34:00Z</cp:lastPrinted>
  <dcterms:created xsi:type="dcterms:W3CDTF">2021-02-13T09:29:00Z</dcterms:created>
  <dcterms:modified xsi:type="dcterms:W3CDTF">2021-02-13T09:29:00Z</dcterms:modified>
</cp:coreProperties>
</file>